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2197017</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rFonts w:cs="David"/>
          <w:b/>
          <w:bCs/>
          <w:sz w:val="26"/>
          <w:szCs w:val="26"/>
          <w:rtl/>
        </w:rPr>
      </w:pPr>
    </w:p>
    <w:p w:rsidRPr="00CF1AA2" w:rsidR="00E13C27" w:rsidP="002A0BA8" w:rsidRDefault="008F6665" w14:paraId="7F6961AA" w14:textId="2A8BA864">
      <w:pPr>
        <w:pStyle w:val="David"/>
        <w:spacing w:line="360" w:lineRule="auto"/>
        <w:ind w:left="3544"/>
        <w:rPr>
          <w:b/>
          <w:bCs/>
          <w:sz w:val="16"/>
          <w:szCs w:val="16"/>
          <w:rtl/>
        </w:rPr>
      </w:pPr>
      <w:bookmarkStart w:name="LGS_Initiators_List" w:id="2"/>
      <w:r>
        <w:rPr>
          <w:b/>
          <w:bCs/>
          <w:rtl/>
        </w:rPr>
        <w:t>יוזם:</w:t>
      </w:r>
      <w:r>
        <w:tab/>
      </w:r>
      <w:r>
        <w:rPr>
          <w:b/>
          <w:bCs/>
          <w:rtl/>
        </w:rPr>
        <w:t xml:space="preserve">      חבר הכנסת</w:t>
      </w:r>
      <w:bookmarkEnd w:id="2"/>
      <w:r w:rsidRPr="00F67051" w:rsidR="00B35784">
        <w:rPr>
          <w:b/>
          <w:bCs/>
        </w:rPr>
        <w:tab/>
      </w:r>
      <w:bookmarkStart w:name="LGS_PM_Names" w:id="3"/>
      <w:r>
        <w:rPr>
          <w:rFonts w:hint="cs"/>
          <w:b/>
          <w:bCs/>
          <w:rtl/>
        </w:rPr>
        <w:t>ינון אזולאי</w:t>
      </w:r>
      <w:bookmarkStart w:name="LGS_Join_List" w:id="4"/>
      <w:bookmarkEnd w:id="3"/>
      <w:r w:rsidR="007D585A">
        <w:rPr>
          <w:rtl/>
        </w:rPr>
        <w:t xml:space="preserve"> </w:t>
      </w:r>
      <w:bookmarkEnd w:id="4"/>
      <w:r w:rsidRPr="00CF1AA2" w:rsidR="002200A1">
        <w:rPr>
          <w:rFonts w:hint="cs"/>
          <w:rtl/>
        </w:rPr>
        <w:tab/>
      </w:r>
      <w:bookmarkStart w:name="LGS_PM_NamesJoin" w:id="5"/>
      <w:r w:rsidR="007D585A">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w:rPr>
          <w:rFonts w:hint="cs"/>
          <w:rtl/>
        </w:rPr>
        <w:t>פ/423/25</w:t>
      </w:r>
      <w:bookmarkEnd w:id="6"/>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77777777">
      <w:pPr>
        <w:pStyle w:val="HeadHatzaotHok"/>
        <w:rPr>
          <w:rtl/>
        </w:rPr>
      </w:pPr>
      <w:bookmarkStart w:name="LGS_Subject" w:id="7"/>
      <w:r>
        <w:rPr>
          <w:rFonts w:hint="cs"/>
          <w:rtl/>
        </w:rPr>
        <w:t>הצעת חוק להגדלת שיעור ההשתתפות בכוח העבודה ולצמצום פערים חברתיים  (מענק עבודה)  (תיקון – הורדת גיל הזכאות), התשפ"ג–2022</w:t>
      </w:r>
      <w:bookmarkEnd w:id="7"/>
    </w:p>
    <w:p w:rsidR="00E13C27" w:rsidP="0021633A" w:rsidRDefault="00E13C27" w14:paraId="7F6961AE" w14:textId="77777777">
      <w:pPr>
        <w:pStyle w:val="HeadDivreiHesber"/>
        <w:spacing w:before="0" w:after="0"/>
        <w:rPr>
          <w:rt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FE26C0" w:rsidTr="00C82317" w14:paraId="429F530A" w14:textId="77777777">
        <w:trPr>
          <w:cantSplit/>
          <w:trHeight w:val="60"/>
        </w:trPr>
        <w:tc>
          <w:tcPr>
            <w:tcW w:w="1871" w:type="dxa"/>
          </w:tcPr>
          <w:p w:rsidRPr="00236B3F" w:rsidR="00FE26C0" w:rsidP="00C82317" w:rsidRDefault="00FE26C0" w14:paraId="457D478A" w14:textId="77777777">
            <w:pPr>
              <w:pStyle w:val="TableInnerSideHeading"/>
              <w:ind w:right="0"/>
            </w:pPr>
            <w:r w:rsidRPr="00A9576B">
              <w:rPr>
                <w:rFonts w:hint="cs"/>
                <w:rtl/>
              </w:rPr>
              <w:t>תיקון</w:t>
            </w:r>
            <w:r>
              <w:rPr>
                <w:rFonts w:hint="cs"/>
                <w:rtl/>
              </w:rPr>
              <w:t xml:space="preserve"> </w:t>
            </w:r>
            <w:r w:rsidRPr="002F6EC7">
              <w:rPr>
                <w:rFonts w:hint="cs"/>
                <w:rtl/>
              </w:rPr>
              <w:t>סעיף</w:t>
            </w:r>
            <w:r>
              <w:rPr>
                <w:rFonts w:hint="cs"/>
                <w:rtl/>
              </w:rPr>
              <w:t xml:space="preserve"> 1</w:t>
            </w:r>
          </w:p>
        </w:tc>
        <w:tc>
          <w:tcPr>
            <w:tcW w:w="624" w:type="dxa"/>
          </w:tcPr>
          <w:p w:rsidRPr="008F3A22" w:rsidR="00FE26C0" w:rsidP="00C82317" w:rsidRDefault="00FE26C0" w14:paraId="722E6254" w14:textId="77777777">
            <w:pPr>
              <w:pStyle w:val="TableText"/>
              <w:ind w:right="0"/>
              <w:jc w:val="both"/>
            </w:pPr>
            <w:r w:rsidRPr="008F3A22">
              <w:rPr>
                <w:rFonts w:hint="cs"/>
                <w:rtl/>
              </w:rPr>
              <w:t>1.</w:t>
            </w:r>
            <w:r>
              <w:rPr>
                <w:rFonts w:hint="cs"/>
                <w:rtl/>
              </w:rPr>
              <w:t xml:space="preserve"> </w:t>
            </w:r>
          </w:p>
        </w:tc>
        <w:tc>
          <w:tcPr>
            <w:tcW w:w="7146" w:type="dxa"/>
          </w:tcPr>
          <w:p w:rsidRPr="00236B3F" w:rsidR="00FE26C0" w:rsidP="00C82317" w:rsidRDefault="00FE26C0" w14:paraId="787F319D" w14:textId="7444D36D">
            <w:pPr>
              <w:pStyle w:val="TableBlock"/>
            </w:pPr>
            <w:r w:rsidRPr="00A9576B">
              <w:rPr>
                <w:rtl/>
              </w:rPr>
              <w:t>בחוק</w:t>
            </w:r>
            <w:r>
              <w:rPr>
                <w:rFonts w:ascii="FrankRuehl" w:hAnsi="FrankRuehl" w:eastAsia="MS Mincho" w:cs="FrankRuehl"/>
                <w:snapToGrid/>
                <w:spacing w:val="1"/>
                <w:sz w:val="32"/>
                <w:szCs w:val="32"/>
                <w:rtl/>
              </w:rPr>
              <w:t xml:space="preserve"> </w:t>
            </w:r>
            <w:r w:rsidRPr="00720348">
              <w:rPr>
                <w:rtl/>
              </w:rPr>
              <w:t>להגדלת</w:t>
            </w:r>
            <w:r>
              <w:rPr>
                <w:rtl/>
              </w:rPr>
              <w:t xml:space="preserve"> </w:t>
            </w:r>
            <w:r w:rsidRPr="00720348">
              <w:rPr>
                <w:rtl/>
              </w:rPr>
              <w:t>שיעור</w:t>
            </w:r>
            <w:r>
              <w:rPr>
                <w:rtl/>
              </w:rPr>
              <w:t xml:space="preserve"> </w:t>
            </w:r>
            <w:r w:rsidRPr="00720348">
              <w:rPr>
                <w:rtl/>
              </w:rPr>
              <w:t>ההשתתפות</w:t>
            </w:r>
            <w:r>
              <w:rPr>
                <w:rtl/>
              </w:rPr>
              <w:t xml:space="preserve"> </w:t>
            </w:r>
            <w:r w:rsidRPr="00720348">
              <w:rPr>
                <w:rtl/>
              </w:rPr>
              <w:t>בכוח</w:t>
            </w:r>
            <w:r>
              <w:rPr>
                <w:rtl/>
              </w:rPr>
              <w:t xml:space="preserve"> </w:t>
            </w:r>
            <w:r w:rsidRPr="00720348">
              <w:rPr>
                <w:rtl/>
              </w:rPr>
              <w:t>העבודה</w:t>
            </w:r>
            <w:r>
              <w:rPr>
                <w:rtl/>
              </w:rPr>
              <w:t xml:space="preserve"> </w:t>
            </w:r>
            <w:r w:rsidRPr="00720348">
              <w:rPr>
                <w:rtl/>
              </w:rPr>
              <w:t>ולצמצום</w:t>
            </w:r>
            <w:r>
              <w:rPr>
                <w:rtl/>
              </w:rPr>
              <w:t xml:space="preserve"> </w:t>
            </w:r>
            <w:r w:rsidRPr="00720348">
              <w:rPr>
                <w:rtl/>
              </w:rPr>
              <w:t>פערים</w:t>
            </w:r>
            <w:r>
              <w:rPr>
                <w:rtl/>
              </w:rPr>
              <w:t xml:space="preserve"> </w:t>
            </w:r>
            <w:r w:rsidRPr="00720348">
              <w:rPr>
                <w:rtl/>
              </w:rPr>
              <w:t>חברתיים</w:t>
            </w:r>
            <w:r>
              <w:rPr>
                <w:rtl/>
              </w:rPr>
              <w:t xml:space="preserve"> </w:t>
            </w:r>
            <w:r w:rsidRPr="00720348">
              <w:rPr>
                <w:rtl/>
              </w:rPr>
              <w:t>(מענק</w:t>
            </w:r>
            <w:r>
              <w:rPr>
                <w:rtl/>
              </w:rPr>
              <w:t xml:space="preserve"> </w:t>
            </w:r>
            <w:r w:rsidRPr="00720348">
              <w:rPr>
                <w:rtl/>
              </w:rPr>
              <w:t>עבודה),</w:t>
            </w:r>
            <w:r>
              <w:rPr>
                <w:rtl/>
              </w:rPr>
              <w:t xml:space="preserve"> </w:t>
            </w:r>
            <w:r>
              <w:rPr>
                <w:rFonts w:hint="cs"/>
                <w:rtl/>
              </w:rPr>
              <w:t>ה</w:t>
            </w:r>
            <w:r w:rsidRPr="00720348">
              <w:rPr>
                <w:rtl/>
              </w:rPr>
              <w:t>תשס"ח</w:t>
            </w:r>
            <w:r>
              <w:rPr>
                <w:rFonts w:hint="cs"/>
                <w:rtl/>
              </w:rPr>
              <w:t>–</w:t>
            </w:r>
            <w:r w:rsidRPr="00720348">
              <w:rPr>
                <w:rtl/>
              </w:rPr>
              <w:t>2007</w:t>
            </w:r>
            <w:r>
              <w:rPr>
                <w:rStyle w:val="a5"/>
                <w:rtl/>
              </w:rPr>
              <w:footnoteReference w:id="2"/>
            </w:r>
            <w:r>
              <w:rPr>
                <w:rtl/>
              </w:rPr>
              <w:t xml:space="preserve"> </w:t>
            </w:r>
            <w:r>
              <w:rPr>
                <w:rFonts w:hint="cs"/>
                <w:rtl/>
              </w:rPr>
              <w:t>(להלן – החוק העיקרי)</w:t>
            </w:r>
            <w:r w:rsidR="00CE5417">
              <w:rPr>
                <w:rFonts w:hint="cs"/>
                <w:rtl/>
              </w:rPr>
              <w:t>,</w:t>
            </w:r>
            <w:r>
              <w:rPr>
                <w:rFonts w:hint="cs"/>
                <w:rtl/>
              </w:rPr>
              <w:t xml:space="preserve"> </w:t>
            </w:r>
            <w:r>
              <w:rPr>
                <w:rtl/>
              </w:rPr>
              <w:t>ב</w:t>
            </w:r>
            <w:r>
              <w:rPr>
                <w:rFonts w:hint="cs"/>
                <w:rtl/>
              </w:rPr>
              <w:t>סעיף 1, בהגדרה "עובד",</w:t>
            </w:r>
            <w:r>
              <w:rPr>
                <w:rtl/>
              </w:rPr>
              <w:t xml:space="preserve"> </w:t>
            </w:r>
            <w:r>
              <w:rPr>
                <w:rFonts w:hint="cs"/>
                <w:rtl/>
              </w:rPr>
              <w:t>במקום "23 שנים" יבוא "21 שנים".</w:t>
            </w:r>
          </w:p>
        </w:tc>
      </w:tr>
      <w:tr w:rsidRPr="00C34DE2" w:rsidR="00FE26C0" w:rsidTr="00C82317" w14:paraId="16B1399E" w14:textId="77777777">
        <w:trPr>
          <w:cantSplit/>
          <w:trHeight w:val="60"/>
        </w:trPr>
        <w:tc>
          <w:tcPr>
            <w:tcW w:w="1871" w:type="dxa"/>
          </w:tcPr>
          <w:p w:rsidRPr="005819A5" w:rsidR="00FE26C0" w:rsidP="00C82317" w:rsidRDefault="00FE26C0" w14:paraId="75417BF9" w14:textId="77777777">
            <w:pPr>
              <w:pStyle w:val="TableSideHeading"/>
              <w:ind w:right="0"/>
            </w:pPr>
            <w:r>
              <w:rPr>
                <w:rFonts w:hint="cs"/>
                <w:rtl/>
              </w:rPr>
              <w:t>תיקון סעיף 17</w:t>
            </w:r>
          </w:p>
        </w:tc>
        <w:tc>
          <w:tcPr>
            <w:tcW w:w="624" w:type="dxa"/>
          </w:tcPr>
          <w:p w:rsidRPr="008F3A22" w:rsidR="00FE26C0" w:rsidP="00C82317" w:rsidRDefault="00FE26C0" w14:paraId="6C3DFB63" w14:textId="77777777">
            <w:pPr>
              <w:pStyle w:val="TableText"/>
            </w:pPr>
            <w:r w:rsidRPr="008F3A22">
              <w:rPr>
                <w:rFonts w:hint="cs"/>
                <w:rtl/>
              </w:rPr>
              <w:t>2.</w:t>
            </w:r>
          </w:p>
        </w:tc>
        <w:tc>
          <w:tcPr>
            <w:tcW w:w="7146" w:type="dxa"/>
          </w:tcPr>
          <w:p w:rsidRPr="005819A5" w:rsidR="00FE26C0" w:rsidP="00C82317" w:rsidRDefault="00FE26C0" w14:paraId="20E1EF97" w14:textId="77777777">
            <w:pPr>
              <w:pStyle w:val="TableBlock"/>
            </w:pPr>
            <w:r>
              <w:rPr>
                <w:rFonts w:hint="cs"/>
                <w:rtl/>
              </w:rPr>
              <w:t>בסעיף 17(ב) לחוק העיקרי, במקום "23 שנים" יבוא "21 שנים".</w:t>
            </w:r>
          </w:p>
        </w:tc>
      </w:tr>
      <w:tr w:rsidRPr="00C34DE2" w:rsidR="007D713C" w:rsidTr="00C82317" w14:paraId="3B20C566" w14:textId="77777777">
        <w:trPr>
          <w:cantSplit/>
          <w:trHeight w:val="60"/>
        </w:trPr>
        <w:tc>
          <w:tcPr>
            <w:tcW w:w="1871" w:type="dxa"/>
          </w:tcPr>
          <w:p w:rsidR="007D713C" w:rsidP="00C82317" w:rsidRDefault="007D713C" w14:paraId="57BDB6FF" w14:textId="2C1A941E">
            <w:pPr>
              <w:pStyle w:val="TableSideHeading"/>
              <w:ind w:right="0"/>
              <w:rPr>
                <w:rtl/>
              </w:rPr>
            </w:pPr>
            <w:r>
              <w:rPr>
                <w:rFonts w:hint="cs"/>
                <w:rtl/>
              </w:rPr>
              <w:t>תיקון חוק הגדלת נקודות זיכוי להורים במס הכנסה והגדלת מענק עבודה (הוראת שעה)</w:t>
            </w:r>
          </w:p>
        </w:tc>
        <w:tc>
          <w:tcPr>
            <w:tcW w:w="624" w:type="dxa"/>
          </w:tcPr>
          <w:p w:rsidRPr="008F3A22" w:rsidR="007D713C" w:rsidP="001561F6" w:rsidRDefault="007D713C" w14:paraId="24222C9B" w14:textId="12B11E9D">
            <w:pPr>
              <w:pStyle w:val="TableText"/>
              <w:rPr>
                <w:rtl/>
              </w:rPr>
            </w:pPr>
            <w:r>
              <w:rPr>
                <w:rFonts w:hint="cs"/>
                <w:rtl/>
              </w:rPr>
              <w:t>3.</w:t>
            </w:r>
          </w:p>
        </w:tc>
        <w:tc>
          <w:tcPr>
            <w:tcW w:w="7146" w:type="dxa"/>
          </w:tcPr>
          <w:p w:rsidR="007D713C" w:rsidP="00C82317" w:rsidRDefault="007D713C" w14:paraId="4E15F33A" w14:textId="68C0B54F">
            <w:pPr>
              <w:pStyle w:val="TableBlock"/>
              <w:rPr>
                <w:rtl/>
              </w:rPr>
            </w:pPr>
            <w:r>
              <w:rPr>
                <w:rFonts w:hint="cs"/>
                <w:rtl/>
              </w:rPr>
              <w:t>בחוק הגדלת נקודות זיכוי להורים במס הכנסה והגדלת מענק עבודה (הוראת שעה), התשפ"ב</w:t>
            </w:r>
            <w:r>
              <w:rPr>
                <w:rFonts w:hint="eastAsia"/>
                <w:rtl/>
              </w:rPr>
              <w:t>–</w:t>
            </w:r>
            <w:r>
              <w:rPr>
                <w:rFonts w:hint="cs"/>
                <w:rtl/>
              </w:rPr>
              <w:t>2022</w:t>
            </w:r>
            <w:r>
              <w:rPr>
                <w:rStyle w:val="a5"/>
                <w:rtl/>
              </w:rPr>
              <w:footnoteReference w:id="3"/>
            </w:r>
            <w:r>
              <w:rPr>
                <w:rFonts w:hint="cs"/>
                <w:rtl/>
              </w:rPr>
              <w:t xml:space="preserve">, בסעיף 2, סעיף קטן (ב) </w:t>
            </w:r>
            <w:r>
              <w:rPr>
                <w:rtl/>
              </w:rPr>
              <w:softHyphen/>
            </w:r>
            <w:r>
              <w:rPr>
                <w:rFonts w:hint="cs"/>
                <w:rtl/>
              </w:rPr>
              <w:t>– בטל.</w:t>
            </w:r>
          </w:p>
        </w:tc>
      </w:tr>
    </w:tbl>
    <w:p w:rsidR="002D1EE3" w:rsidP="002D1EE3" w:rsidRDefault="002D1EE3" w14:paraId="7F6961CA" w14:textId="77777777">
      <w:pPr>
        <w:pStyle w:val="HeadDivreiHesber"/>
        <w:rPr>
          <w:rtl/>
        </w:rPr>
      </w:pPr>
      <w:r w:rsidRPr="0027450A">
        <w:rPr>
          <w:rFonts w:hint="cs"/>
          <w:rtl/>
        </w:rPr>
        <w:t>דברי הסבר</w:t>
      </w:r>
    </w:p>
    <w:p w:rsidRPr="00FE26C0" w:rsidR="00FE26C0" w:rsidP="00FE26C0" w:rsidRDefault="00FE26C0" w14:paraId="1BDD5591" w14:textId="77777777">
      <w:pPr>
        <w:pStyle w:val="Hesber"/>
        <w:rPr>
          <w:rtl/>
        </w:rPr>
      </w:pPr>
      <w:r w:rsidRPr="00FE26C0">
        <w:rPr>
          <w:rtl/>
        </w:rPr>
        <w:t>מס הכנסה שלילי</w:t>
      </w:r>
      <w:r w:rsidRPr="00FE26C0">
        <w:rPr>
          <w:rFonts w:hint="cs"/>
          <w:rtl/>
        </w:rPr>
        <w:t xml:space="preserve"> (</w:t>
      </w:r>
      <w:r w:rsidRPr="00FE26C0">
        <w:rPr>
          <w:rtl/>
        </w:rPr>
        <w:t>המכונה גם</w:t>
      </w:r>
      <w:r w:rsidRPr="00FE26C0">
        <w:rPr>
          <w:rFonts w:hint="cs"/>
          <w:rtl/>
        </w:rPr>
        <w:t xml:space="preserve"> "</w:t>
      </w:r>
      <w:r w:rsidRPr="00FE26C0">
        <w:rPr>
          <w:rtl/>
        </w:rPr>
        <w:t>מענק עבודה</w:t>
      </w:r>
      <w:r w:rsidRPr="00FE26C0">
        <w:rPr>
          <w:rFonts w:hint="cs"/>
          <w:rtl/>
        </w:rPr>
        <w:t xml:space="preserve">") </w:t>
      </w:r>
      <w:r w:rsidRPr="00FE26C0">
        <w:rPr>
          <w:rtl/>
        </w:rPr>
        <w:t>הוא מענק שהמדינה נותנת לעובדים בעלי הכנסה נמוכה, לשם עידוד השתתפות בשוק העבודה. הצורך במתן מענק נובע מכך שברמות ההכנסה הנמוכות, פטור ממס אינו משמעותי מאחר שהן לא מגיעות לסף המס</w:t>
      </w:r>
      <w:r w:rsidRPr="00FE26C0">
        <w:rPr>
          <w:rFonts w:hint="cs"/>
          <w:rtl/>
        </w:rPr>
        <w:t xml:space="preserve">. </w:t>
      </w:r>
      <w:r w:rsidRPr="00FE26C0">
        <w:rPr>
          <w:rtl/>
        </w:rPr>
        <w:t>מס הכנסה שלילי מצטרף לכלים אחרים שבאו להבטיח הכנסה מינימלית, ובהם</w:t>
      </w:r>
      <w:r w:rsidRPr="00FE26C0">
        <w:rPr>
          <w:rFonts w:hint="cs"/>
          <w:rtl/>
        </w:rPr>
        <w:t xml:space="preserve"> </w:t>
      </w:r>
      <w:r w:rsidRPr="00FE26C0">
        <w:rPr>
          <w:rtl/>
        </w:rPr>
        <w:t>שכר מינימום והשלמת הכנסה</w:t>
      </w:r>
      <w:r w:rsidRPr="00FE26C0">
        <w:rPr>
          <w:rFonts w:hint="cs"/>
          <w:rtl/>
        </w:rPr>
        <w:t xml:space="preserve">. </w:t>
      </w:r>
      <w:r w:rsidRPr="00FE26C0">
        <w:rPr>
          <w:rtl/>
        </w:rPr>
        <w:t>מס הכנסה שלילי נחשב על ידי תומכיו כרעיון חלופי לקצבאות שאינן מותנות בעבודה</w:t>
      </w:r>
      <w:r w:rsidRPr="00FE26C0">
        <w:t>.</w:t>
      </w:r>
    </w:p>
    <w:p w:rsidRPr="00FE26C0" w:rsidR="00FE26C0" w:rsidP="00FE26C0" w:rsidRDefault="00FE26C0" w14:paraId="15285D64" w14:textId="77777777">
      <w:pPr>
        <w:pStyle w:val="Hesber"/>
      </w:pPr>
      <w:r w:rsidRPr="00FE26C0">
        <w:rPr>
          <w:rtl/>
        </w:rPr>
        <w:t>בתחילת המאה</w:t>
      </w:r>
      <w:r w:rsidRPr="00FE26C0">
        <w:rPr>
          <w:rFonts w:hint="cs"/>
          <w:rtl/>
        </w:rPr>
        <w:t xml:space="preserve"> </w:t>
      </w:r>
      <w:r w:rsidRPr="00FE26C0">
        <w:rPr>
          <w:rtl/>
        </w:rPr>
        <w:t>ה-21</w:t>
      </w:r>
      <w:r w:rsidRPr="00FE26C0">
        <w:rPr>
          <w:rFonts w:hint="cs"/>
          <w:rtl/>
        </w:rPr>
        <w:t>,</w:t>
      </w:r>
      <w:r w:rsidRPr="00FE26C0">
        <w:rPr>
          <w:rtl/>
        </w:rPr>
        <w:t xml:space="preserve"> עם הגידול בשיעורי העוני</w:t>
      </w:r>
      <w:r w:rsidRPr="00FE26C0">
        <w:rPr>
          <w:rFonts w:hint="cs"/>
          <w:rtl/>
        </w:rPr>
        <w:t>, הירידה</w:t>
      </w:r>
      <w:r w:rsidRPr="00FE26C0">
        <w:rPr>
          <w:rtl/>
        </w:rPr>
        <w:t xml:space="preserve"> המתמשכת בשיעורי התעסוקה בישראל</w:t>
      </w:r>
      <w:r w:rsidRPr="00FE26C0">
        <w:rPr>
          <w:rFonts w:hint="cs"/>
          <w:rtl/>
        </w:rPr>
        <w:t xml:space="preserve"> </w:t>
      </w:r>
      <w:r w:rsidRPr="00FE26C0">
        <w:rPr>
          <w:rtl/>
        </w:rPr>
        <w:t>בקרב גברים והגידול המתמשך בפער בין שיעורים אלו לשיעורי</w:t>
      </w:r>
      <w:r w:rsidRPr="00FE26C0">
        <w:rPr>
          <w:rFonts w:hint="cs"/>
          <w:rtl/>
        </w:rPr>
        <w:t xml:space="preserve"> התעסוקה</w:t>
      </w:r>
      <w:r w:rsidRPr="00FE26C0">
        <w:rPr>
          <w:rtl/>
        </w:rPr>
        <w:t xml:space="preserve"> במדינות המפותחות האחרות, גברה ההכרה שיש צורך בנקיטת צעדים לעידוד תעסוקה ולהעלאת התמורה לעבודה בקרב עניים עובדים. אחד הכלים ששימשו במדינות אחדות לסיוע לעניים עובדים ולעידוד תעסוקה היה מס הכנסה שלילי. בעקבות ההצלחה של כלי זה במקומות שונים</w:t>
      </w:r>
      <w:r w:rsidRPr="00FE26C0">
        <w:rPr>
          <w:rFonts w:hint="cs"/>
          <w:rtl/>
        </w:rPr>
        <w:t>,</w:t>
      </w:r>
      <w:r w:rsidRPr="00FE26C0">
        <w:rPr>
          <w:rtl/>
        </w:rPr>
        <w:t xml:space="preserve"> ובפרט בארצות הברית</w:t>
      </w:r>
      <w:r w:rsidRPr="00FE26C0">
        <w:rPr>
          <w:rFonts w:hint="cs"/>
          <w:rtl/>
        </w:rPr>
        <w:t>,</w:t>
      </w:r>
      <w:r w:rsidRPr="00FE26C0">
        <w:rPr>
          <w:rtl/>
        </w:rPr>
        <w:t xml:space="preserve"> הציעו אנשי בנק ישראל  במסגרת </w:t>
      </w:r>
      <w:r w:rsidRPr="00FE26C0">
        <w:rPr>
          <w:rtl/>
        </w:rPr>
        <w:lastRenderedPageBreak/>
        <w:t>הצוות המשותף של בנק ישראל ומשרד האוצר לטיפול בעוני, להפעיל מס הכנסה שלילי גם בישרא</w:t>
      </w:r>
      <w:r w:rsidRPr="00FE26C0">
        <w:rPr>
          <w:rFonts w:hint="cs"/>
          <w:rtl/>
        </w:rPr>
        <w:t xml:space="preserve">ל, </w:t>
      </w:r>
      <w:r w:rsidRPr="00FE26C0">
        <w:rPr>
          <w:rtl/>
        </w:rPr>
        <w:t>אך ההצעה לא התקבלה</w:t>
      </w:r>
      <w:r w:rsidRPr="00FE26C0">
        <w:t>.</w:t>
      </w:r>
    </w:p>
    <w:p w:rsidRPr="00FE26C0" w:rsidR="00FE26C0" w:rsidP="00FE26C0" w:rsidRDefault="00FE26C0" w14:paraId="48938445" w14:textId="77777777">
      <w:pPr>
        <w:pStyle w:val="Hesber"/>
        <w:rPr>
          <w:rtl/>
        </w:rPr>
      </w:pPr>
      <w:r w:rsidRPr="00FE26C0">
        <w:rPr>
          <w:rtl/>
        </w:rPr>
        <w:t>הנושא עלה לדיונים בעקבות מחקר אסטרטגיה לצמצום העוני בישראל שהוכן בבנק ישראל בתקופתו של נגיד בנק ישראל ד"ר דוד קלי</w:t>
      </w:r>
      <w:r w:rsidRPr="00FE26C0">
        <w:rPr>
          <w:rFonts w:hint="cs"/>
          <w:rtl/>
        </w:rPr>
        <w:t xml:space="preserve">ין, </w:t>
      </w:r>
      <w:r w:rsidRPr="00FE26C0">
        <w:rPr>
          <w:rtl/>
        </w:rPr>
        <w:t>מחקר זה הוביל באמצע העשור הראשון של המאה ה-21 להקמת צוות בין משרדי שכלל בנוסף לנציגי בנק ישראל גם נציגי</w:t>
      </w:r>
      <w:r w:rsidRPr="00FE26C0">
        <w:rPr>
          <w:rFonts w:hint="cs"/>
          <w:rtl/>
        </w:rPr>
        <w:t>ם של</w:t>
      </w:r>
      <w:r w:rsidRPr="00FE26C0">
        <w:rPr>
          <w:rtl/>
        </w:rPr>
        <w:t xml:space="preserve"> משרד האוצר והמוסד לביטוח לאומי</w:t>
      </w:r>
      <w:r w:rsidRPr="00FE26C0">
        <w:rPr>
          <w:rFonts w:hint="cs"/>
          <w:rtl/>
        </w:rPr>
        <w:t xml:space="preserve">. צוות זה </w:t>
      </w:r>
      <w:r w:rsidRPr="00FE26C0">
        <w:rPr>
          <w:rtl/>
        </w:rPr>
        <w:t>עיצב את המתכונת שבה ייושם מס ההכנסה השלילי, תחילה כפיילוט באזורי השילוב ובשלב מאוחר יותר בכלל המדינה</w:t>
      </w:r>
      <w:r w:rsidRPr="00FE26C0">
        <w:t>.</w:t>
      </w:r>
    </w:p>
    <w:p w:rsidR="007D713C" w:rsidP="001561F6" w:rsidRDefault="00FE26C0" w14:paraId="0C4FFD2D" w14:textId="2E7BAC6C">
      <w:pPr>
        <w:pStyle w:val="Hesber"/>
        <w:rPr>
          <w:rtl/>
        </w:rPr>
      </w:pPr>
      <w:r w:rsidRPr="00FE26C0">
        <w:rPr>
          <w:rFonts w:hint="cs"/>
          <w:rtl/>
        </w:rPr>
        <w:t xml:space="preserve">בשנת 2017, ערך </w:t>
      </w:r>
      <w:r w:rsidRPr="00FE26C0">
        <w:rPr>
          <w:rtl/>
        </w:rPr>
        <w:t xml:space="preserve">בנק ישראל בדיקה בדבר העלות של הורדת גיל הזכאות מ-23 ל-18 שנים. </w:t>
      </w:r>
      <w:r w:rsidRPr="00FE26C0">
        <w:rPr>
          <w:rFonts w:hint="cs"/>
          <w:rtl/>
        </w:rPr>
        <w:t xml:space="preserve">לפי הבדיקה, </w:t>
      </w:r>
      <w:r w:rsidRPr="00FE26C0">
        <w:rPr>
          <w:rtl/>
        </w:rPr>
        <w:t xml:space="preserve">התוספת התקציבית של </w:t>
      </w:r>
      <w:r w:rsidRPr="00FE26C0">
        <w:rPr>
          <w:rFonts w:hint="cs"/>
          <w:rtl/>
        </w:rPr>
        <w:t>הורדת גיל הזכאות למענק העבודה ל-18 שנים</w:t>
      </w:r>
      <w:r w:rsidRPr="00FE26C0">
        <w:rPr>
          <w:rtl/>
        </w:rPr>
        <w:t xml:space="preserve"> </w:t>
      </w:r>
      <w:r w:rsidRPr="00FE26C0">
        <w:rPr>
          <w:rFonts w:hint="cs"/>
          <w:rtl/>
        </w:rPr>
        <w:t xml:space="preserve">היא </w:t>
      </w:r>
      <w:r w:rsidRPr="00FE26C0">
        <w:rPr>
          <w:rtl/>
        </w:rPr>
        <w:t>בין 17 ל-23 מיליון ש</w:t>
      </w:r>
      <w:r w:rsidRPr="00FE26C0">
        <w:rPr>
          <w:rFonts w:hint="cs"/>
          <w:rtl/>
        </w:rPr>
        <w:t>"ח</w:t>
      </w:r>
      <w:r w:rsidRPr="00FE26C0">
        <w:rPr>
          <w:rtl/>
        </w:rPr>
        <w:t xml:space="preserve"> בשנה</w:t>
      </w:r>
      <w:r w:rsidRPr="00FE26C0">
        <w:rPr>
          <w:rFonts w:hint="cs"/>
          <w:rtl/>
        </w:rPr>
        <w:t>, ואילו הורדת גיל הזכאות ל-21 תעלה בין 13 ל- 18 מיליון ש"ח בשנה.</w:t>
      </w:r>
      <w:r w:rsidRPr="00FE26C0">
        <w:rPr>
          <w:rtl/>
        </w:rPr>
        <w:t xml:space="preserve"> וגם זאת, בתנאי שההטבה תמוצה בשיעור גבוה יחסית</w:t>
      </w:r>
      <w:r w:rsidRPr="00FE26C0">
        <w:rPr>
          <w:rFonts w:hint="cs"/>
          <w:rtl/>
        </w:rPr>
        <w:t xml:space="preserve"> –</w:t>
      </w:r>
      <w:r w:rsidRPr="00FE26C0">
        <w:rPr>
          <w:rtl/>
        </w:rPr>
        <w:t xml:space="preserve"> 70%. יש לציין שב</w:t>
      </w:r>
      <w:r w:rsidRPr="00FE26C0">
        <w:rPr>
          <w:rFonts w:hint="cs"/>
          <w:rtl/>
        </w:rPr>
        <w:t xml:space="preserve">שנת </w:t>
      </w:r>
      <w:r w:rsidRPr="00FE26C0">
        <w:rPr>
          <w:rtl/>
        </w:rPr>
        <w:t>2019, סך תשלומי מס ההכנסה השלילי עמדו על 1.26 מיליארד ש</w:t>
      </w:r>
      <w:r w:rsidRPr="00FE26C0">
        <w:rPr>
          <w:rFonts w:hint="cs"/>
          <w:rtl/>
        </w:rPr>
        <w:t>"ח</w:t>
      </w:r>
      <w:r w:rsidRPr="00FE26C0">
        <w:rPr>
          <w:rtl/>
        </w:rPr>
        <w:t>, כך שמדובר על תוספת של פחות מ-2%</w:t>
      </w:r>
      <w:r w:rsidRPr="00FE26C0">
        <w:t>.</w:t>
      </w:r>
      <w:r w:rsidR="003445EA">
        <w:rPr>
          <w:rFonts w:hint="cs"/>
          <w:rtl/>
        </w:rPr>
        <w:t xml:space="preserve"> </w:t>
      </w:r>
      <w:r w:rsidRPr="00FE26C0">
        <w:rPr>
          <w:rFonts w:hint="cs"/>
          <w:rtl/>
        </w:rPr>
        <w:t>לפיכך, הורד</w:t>
      </w:r>
      <w:r w:rsidR="003445EA">
        <w:rPr>
          <w:rFonts w:hint="cs"/>
          <w:rtl/>
        </w:rPr>
        <w:t>ת</w:t>
      </w:r>
      <w:r w:rsidRPr="00FE26C0">
        <w:rPr>
          <w:rFonts w:hint="cs"/>
          <w:rtl/>
        </w:rPr>
        <w:t xml:space="preserve"> גיל הזכאות למענק עבודה ל-21, </w:t>
      </w:r>
      <w:r w:rsidR="003445EA">
        <w:rPr>
          <w:rFonts w:hint="cs"/>
          <w:rtl/>
        </w:rPr>
        <w:t>ת</w:t>
      </w:r>
      <w:r w:rsidRPr="00FE26C0">
        <w:rPr>
          <w:rFonts w:hint="cs"/>
          <w:rtl/>
        </w:rPr>
        <w:t xml:space="preserve">גדיל את השתתפותם של עוד אזרחים אשר נמצאים מתחת לקו העוני וכל חטאם הוא שהם לא הגיעו לגיל 23. </w:t>
      </w:r>
    </w:p>
    <w:p w:rsidR="003118FA" w:rsidP="003118FA" w:rsidRDefault="003118FA" w14:paraId="3F1E21F0" w14:textId="1898642C">
      <w:pPr>
        <w:pStyle w:val="Hesber"/>
        <w:rPr>
          <w:rtl/>
        </w:rPr>
      </w:pPr>
      <w:r>
        <w:rPr>
          <w:rFonts w:hint="cs"/>
          <w:rtl/>
        </w:rPr>
        <w:t>בחוק הגדלת נקודות זיכוי להורים במס הכנסה והגדלת מענק עבודה (הוראת שעה), התשפ"ב</w:t>
      </w:r>
      <w:r>
        <w:rPr>
          <w:rFonts w:hint="eastAsia"/>
          <w:rtl/>
        </w:rPr>
        <w:t>–</w:t>
      </w:r>
      <w:r>
        <w:rPr>
          <w:rFonts w:hint="cs"/>
          <w:rtl/>
        </w:rPr>
        <w:t>2022, נקבע, בהוראת שעה, כי הזכאות למענק עבודה היא מגיל 21. הוראת השעה תחול על מענקי עבודה שיינתנו בשנות המס 2022, 2023 ו-2024.</w:t>
      </w:r>
    </w:p>
    <w:p w:rsidRPr="00FE26C0" w:rsidR="003118FA" w:rsidP="003445EA" w:rsidRDefault="003118FA" w14:paraId="5D73D0CD" w14:textId="332BAF30">
      <w:pPr>
        <w:pStyle w:val="Hesber"/>
        <w:rPr>
          <w:rtl/>
        </w:rPr>
      </w:pPr>
      <w:r>
        <w:rPr>
          <w:rFonts w:hint="cs"/>
          <w:rtl/>
        </w:rPr>
        <w:t>לפיכך, מוצע לבטל את הוראת השעה ולהחליפה בהסדר קבע שלפיו זכאות למענק עבודה תינתן מגיל 21 ולא מגיל 23.</w:t>
      </w:r>
      <w:r w:rsidRPr="003445EA" w:rsidR="003445EA">
        <w:rPr>
          <w:rtl/>
        </w:rPr>
        <w:t xml:space="preserve"> ההסדר המוצע יחול הן לגבי עובד והן לגבי עצמאי. באמצעות מתן זכאות למענק עבודה למי שמלאו לו 21 שנים תיושם כוונת המחוקק לצמצם את פערי העוני בין האזרחים.</w:t>
      </w:r>
    </w:p>
    <w:p w:rsidR="00FE26C0" w:rsidP="002A0BA8" w:rsidRDefault="00FE26C0" w14:paraId="29D576A6" w14:textId="7BAB18E8">
      <w:pPr>
        <w:pStyle w:val="Hesber"/>
        <w:rPr>
          <w:rtl/>
        </w:rPr>
      </w:pPr>
      <w:r w:rsidRPr="00FE26C0">
        <w:rPr>
          <w:rFonts w:hint="cs"/>
          <w:rtl/>
        </w:rPr>
        <w:t xml:space="preserve">הצעות חוק דומות בעיקרן הונחו על שולחן הכנסת </w:t>
      </w:r>
      <w:r w:rsidRPr="00FE26C0">
        <w:rPr>
          <w:rtl/>
        </w:rPr>
        <w:t>העשרים</w:t>
      </w:r>
      <w:r w:rsidRPr="00FE26C0">
        <w:rPr>
          <w:rFonts w:hint="cs"/>
          <w:rtl/>
        </w:rPr>
        <w:t xml:space="preserve"> וארבע </w:t>
      </w:r>
      <w:r w:rsidRPr="00FE26C0">
        <w:rPr>
          <w:rtl/>
        </w:rPr>
        <w:t>על ידי חבר הכנסת מיכאל מלכיאלי</w:t>
      </w:r>
      <w:r w:rsidRPr="00FE26C0">
        <w:rPr>
          <w:rFonts w:hint="cs"/>
          <w:rtl/>
        </w:rPr>
        <w:t xml:space="preserve"> (פ/172/24)</w:t>
      </w:r>
      <w:r w:rsidR="009D07D0">
        <w:rPr>
          <w:rFonts w:hint="cs"/>
          <w:rtl/>
        </w:rPr>
        <w:t>,</w:t>
      </w:r>
      <w:r w:rsidRPr="00FE26C0">
        <w:rPr>
          <w:rFonts w:hint="cs"/>
          <w:rtl/>
        </w:rPr>
        <w:t xml:space="preserve"> על ידי חבר הכנסת יעקב אשר וקבוצת חברי הכנסת (פ/1202/24)</w:t>
      </w:r>
      <w:r w:rsidR="009D07D0">
        <w:rPr>
          <w:rFonts w:hint="cs"/>
          <w:rtl/>
        </w:rPr>
        <w:t>, ועל ידי חבר הכנסת ינון אזולאי ומשה ארבל (פ/3483/24),</w:t>
      </w:r>
      <w:r w:rsidRPr="009D07D0" w:rsidR="009D07D0">
        <w:rPr>
          <w:rtl/>
        </w:rPr>
        <w:t xml:space="preserve"> ועל שולחן הכנסת העשרים וחמש על ידי חבר הכנסת רון כץ (פ/28/25), ועל ידי חבר הכנסת יעקב אשר ואורי מקלב (</w:t>
      </w:r>
      <w:r w:rsidR="002A0BA8">
        <w:rPr>
          <w:rFonts w:hint="cs"/>
          <w:rtl/>
        </w:rPr>
        <w:t>פ/422/25).</w:t>
      </w:r>
    </w:p>
    <w:p w:rsidR="002A0BA8" w:rsidP="002A0BA8" w:rsidRDefault="002A0BA8" w14:paraId="6DE782A0" w14:textId="77777777">
      <w:pPr>
        <w:pStyle w:val="Hesber"/>
        <w:rPr>
          <w:rtl/>
        </w:rPr>
      </w:pPr>
    </w:p>
    <w:p w:rsidRPr="00FE26C0" w:rsidR="002A0BA8" w:rsidP="002A0BA8" w:rsidRDefault="002A0BA8" w14:paraId="658B2830" w14:textId="77777777">
      <w:pPr>
        <w:pStyle w:val="Hesber"/>
        <w:rPr>
          <w:rtl/>
        </w:rPr>
      </w:pPr>
      <w:bookmarkStart w:name="_GoBack" w:id="8"/>
      <w:bookmarkEnd w:id="8"/>
    </w:p>
    <w:p w:rsidR="00E13C27" w:rsidP="00FE26C0" w:rsidRDefault="00E13C27" w14:paraId="7F6961CB" w14:textId="5B38D732">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CB05E20"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2A0BA8">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7D713C">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7FC19FF" w14:textId="77777777" w:rsidR="00FE26C0" w:rsidRDefault="00FE26C0" w:rsidP="00FE26C0">
      <w:pPr>
        <w:pStyle w:val="a4"/>
      </w:pPr>
      <w:r>
        <w:rPr>
          <w:rStyle w:val="a5"/>
        </w:rPr>
        <w:footnoteRef/>
      </w:r>
      <w:r>
        <w:rPr>
          <w:rtl/>
        </w:rPr>
        <w:t xml:space="preserve"> </w:t>
      </w:r>
      <w:r>
        <w:rPr>
          <w:rFonts w:hint="cs"/>
          <w:rtl/>
        </w:rPr>
        <w:t>ס"ח התשס"ח, עמ' 84.</w:t>
      </w:r>
    </w:p>
  </w:footnote>
  <w:footnote w:id="3">
    <w:p w14:paraId="20C8EBC6" w14:textId="376C8E0B" w:rsidR="007D713C" w:rsidRDefault="007D713C">
      <w:pPr>
        <w:pStyle w:val="a4"/>
      </w:pPr>
      <w:r>
        <w:rPr>
          <w:rStyle w:val="a5"/>
        </w:rPr>
        <w:footnoteRef/>
      </w:r>
      <w:r>
        <w:rPr>
          <w:rtl/>
        </w:rPr>
        <w:t xml:space="preserve"> </w:t>
      </w:r>
      <w:r>
        <w:rPr>
          <w:rFonts w:hint="cs"/>
          <w:rtl/>
        </w:rPr>
        <w:t>ס"ח התשפ"ב, עמ' 844.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561F6"/>
    <w:rsid w:val="001A0623"/>
    <w:rsid w:val="001C23B0"/>
    <w:rsid w:val="001D7AAF"/>
    <w:rsid w:val="001E1503"/>
    <w:rsid w:val="00203A7F"/>
    <w:rsid w:val="0021633A"/>
    <w:rsid w:val="002200A1"/>
    <w:rsid w:val="002362BF"/>
    <w:rsid w:val="00241B97"/>
    <w:rsid w:val="002425D1"/>
    <w:rsid w:val="00246756"/>
    <w:rsid w:val="00251E58"/>
    <w:rsid w:val="00254605"/>
    <w:rsid w:val="00266D86"/>
    <w:rsid w:val="002728B4"/>
    <w:rsid w:val="0027600C"/>
    <w:rsid w:val="00292712"/>
    <w:rsid w:val="002A0BA8"/>
    <w:rsid w:val="002A487D"/>
    <w:rsid w:val="002C2E29"/>
    <w:rsid w:val="002C3041"/>
    <w:rsid w:val="002D1EE3"/>
    <w:rsid w:val="002F1D80"/>
    <w:rsid w:val="003118FA"/>
    <w:rsid w:val="003232A2"/>
    <w:rsid w:val="00325C14"/>
    <w:rsid w:val="003445EA"/>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D713C"/>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3AA0"/>
    <w:rsid w:val="009456B6"/>
    <w:rsid w:val="00957589"/>
    <w:rsid w:val="00966D06"/>
    <w:rsid w:val="00982412"/>
    <w:rsid w:val="00983A8D"/>
    <w:rsid w:val="009A0DB8"/>
    <w:rsid w:val="009A7257"/>
    <w:rsid w:val="009D07D0"/>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80D9E"/>
    <w:rsid w:val="00C9176A"/>
    <w:rsid w:val="00CE5417"/>
    <w:rsid w:val="00CF1AA2"/>
    <w:rsid w:val="00D142D3"/>
    <w:rsid w:val="00D17774"/>
    <w:rsid w:val="00D63620"/>
    <w:rsid w:val="00D8410D"/>
    <w:rsid w:val="00D867D7"/>
    <w:rsid w:val="00DB7060"/>
    <w:rsid w:val="00DD443D"/>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 w:val="00FE26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78754D82-B9F0-48A8-BC5A-DC48ECED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67E767B5-A9BB-4B47-992D-84442AF6E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290d5b49-c690-4c6f-bbb9-1e50dab33ee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19A955E-1373-40F8-A28B-1D26AFDA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506</Words>
  <Characters>2885</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14</cp:revision>
  <cp:lastPrinted>2022-11-29T09:26:00Z</cp:lastPrinted>
  <dcterms:created xsi:type="dcterms:W3CDTF">2015-04-20T09:58:00Z</dcterms:created>
  <dcterms:modified xsi:type="dcterms:W3CDTF">2022-12-04T11:33:00Z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2197017</vt:r8>
  </property>
</Properties>
</file>